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70802" w14:textId="2F3B1F47" w:rsidR="007111CF" w:rsidRPr="007111CF" w:rsidRDefault="007111CF" w:rsidP="007111CF">
      <w:pPr>
        <w:pStyle w:val="Kop3"/>
        <w:rPr>
          <w:rFonts w:ascii="Calibri" w:hAnsi="Calibri" w:cs="Calibri"/>
          <w:sz w:val="32"/>
          <w:szCs w:val="32"/>
        </w:rPr>
      </w:pPr>
      <w:r w:rsidRPr="007111CF">
        <w:rPr>
          <w:rStyle w:val="Zwaar"/>
          <w:rFonts w:ascii="Calibri" w:hAnsi="Calibri" w:cs="Calibri"/>
          <w:b w:val="0"/>
          <w:bCs w:val="0"/>
          <w:sz w:val="32"/>
          <w:szCs w:val="32"/>
        </w:rPr>
        <w:t>Elastische PVC-vloerbedekking met verhoogde slipweerstand</w:t>
      </w:r>
      <w:r>
        <w:rPr>
          <w:rStyle w:val="Zwaar"/>
          <w:rFonts w:ascii="Calibri" w:hAnsi="Calibri" w:cs="Calibri"/>
          <w:b w:val="0"/>
          <w:bCs w:val="0"/>
          <w:sz w:val="32"/>
          <w:szCs w:val="32"/>
        </w:rPr>
        <w:t xml:space="preserve"> (TARASAFE </w:t>
      </w:r>
      <w:r w:rsidR="00593585">
        <w:rPr>
          <w:rStyle w:val="Zwaar"/>
          <w:rFonts w:ascii="Calibri" w:hAnsi="Calibri" w:cs="Calibri"/>
          <w:b w:val="0"/>
          <w:bCs w:val="0"/>
          <w:sz w:val="32"/>
          <w:szCs w:val="32"/>
        </w:rPr>
        <w:t>ULTRA</w:t>
      </w:r>
      <w:r>
        <w:rPr>
          <w:rStyle w:val="Zwaar"/>
          <w:rFonts w:ascii="Calibri" w:hAnsi="Calibri" w:cs="Calibri"/>
          <w:b w:val="0"/>
          <w:bCs w:val="0"/>
          <w:sz w:val="32"/>
          <w:szCs w:val="32"/>
        </w:rPr>
        <w:t>)</w:t>
      </w:r>
    </w:p>
    <w:p w14:paraId="7FCB1A53" w14:textId="77777777" w:rsidR="007111CF" w:rsidRPr="007111CF" w:rsidRDefault="007111CF" w:rsidP="007111CF">
      <w:pPr>
        <w:pStyle w:val="Normaalweb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Productkenmerken</w:t>
      </w:r>
    </w:p>
    <w:p w14:paraId="2DBDEE0B" w14:textId="4798E5EB" w:rsidR="007111CF" w:rsidRPr="007111CF" w:rsidRDefault="007111CF" w:rsidP="007111CF">
      <w:pPr>
        <w:numPr>
          <w:ilvl w:val="0"/>
          <w:numId w:val="6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Type</w:t>
      </w:r>
      <w:r w:rsidRPr="007111CF">
        <w:rPr>
          <w:rFonts w:ascii="Calibri" w:hAnsi="Calibri" w:cs="Calibri"/>
        </w:rPr>
        <w:t>: Heterogene PVC-vloerbedekking met verhoogde slipweerstand</w:t>
      </w:r>
    </w:p>
    <w:p w14:paraId="6A61FAA1" w14:textId="77777777" w:rsidR="007111CF" w:rsidRPr="007111CF" w:rsidRDefault="007111CF" w:rsidP="007111CF">
      <w:pPr>
        <w:numPr>
          <w:ilvl w:val="0"/>
          <w:numId w:val="6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Slijtlaag</w:t>
      </w:r>
      <w:r w:rsidRPr="007111CF">
        <w:rPr>
          <w:rFonts w:ascii="Calibri" w:hAnsi="Calibri" w:cs="Calibri"/>
        </w:rPr>
        <w:t>: Homogene laag met diep ingewerkte minerale kristaldeeltjes voor langdurige grip.</w:t>
      </w:r>
    </w:p>
    <w:p w14:paraId="4BD8DC23" w14:textId="77777777" w:rsidR="007111CF" w:rsidRPr="007111CF" w:rsidRDefault="007111CF" w:rsidP="007111CF">
      <w:pPr>
        <w:numPr>
          <w:ilvl w:val="0"/>
          <w:numId w:val="6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Slipweerstand</w:t>
      </w:r>
      <w:r w:rsidRPr="007111CF">
        <w:rPr>
          <w:rFonts w:ascii="Calibri" w:hAnsi="Calibri" w:cs="Calibri"/>
        </w:rPr>
        <w:t xml:space="preserve">: </w:t>
      </w:r>
    </w:p>
    <w:p w14:paraId="598208E6" w14:textId="77777777" w:rsidR="007111CF" w:rsidRPr="007111CF" w:rsidRDefault="007111CF" w:rsidP="007111CF">
      <w:pPr>
        <w:numPr>
          <w:ilvl w:val="1"/>
          <w:numId w:val="6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Klasse R10 (volgens EN 16165, bijlage B)</w:t>
      </w:r>
    </w:p>
    <w:p w14:paraId="6C9C45C1" w14:textId="77777777" w:rsidR="007111CF" w:rsidRPr="007111CF" w:rsidRDefault="007111CF" w:rsidP="007111CF">
      <w:pPr>
        <w:numPr>
          <w:ilvl w:val="1"/>
          <w:numId w:val="6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Klasse B (volgens EN 16165, bijlage A)</w:t>
      </w:r>
    </w:p>
    <w:p w14:paraId="422CF406" w14:textId="77777777" w:rsidR="007111CF" w:rsidRPr="007111CF" w:rsidRDefault="007111CF" w:rsidP="007111CF">
      <w:pPr>
        <w:numPr>
          <w:ilvl w:val="0"/>
          <w:numId w:val="6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Versteviging</w:t>
      </w:r>
      <w:r w:rsidRPr="007111CF">
        <w:rPr>
          <w:rFonts w:ascii="Calibri" w:hAnsi="Calibri" w:cs="Calibri"/>
        </w:rPr>
        <w:t>: Glasvezelnet voor extra stabiliteit en sterkte.</w:t>
      </w:r>
    </w:p>
    <w:p w14:paraId="519A6E35" w14:textId="77777777" w:rsidR="007111CF" w:rsidRPr="007111CF" w:rsidRDefault="007111CF" w:rsidP="007111CF">
      <w:pPr>
        <w:numPr>
          <w:ilvl w:val="0"/>
          <w:numId w:val="6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Luchtkwaliteit</w:t>
      </w:r>
      <w:r w:rsidRPr="007111CF">
        <w:rPr>
          <w:rFonts w:ascii="Calibri" w:hAnsi="Calibri" w:cs="Calibri"/>
        </w:rPr>
        <w:t>: TVOC &lt; 100 μg/m³ na 28 dagen (conform EN 16000-6)</w:t>
      </w:r>
    </w:p>
    <w:p w14:paraId="2C82D3E7" w14:textId="77777777" w:rsidR="007111CF" w:rsidRPr="007111CF" w:rsidRDefault="007111CF" w:rsidP="007111CF">
      <w:pPr>
        <w:numPr>
          <w:ilvl w:val="0"/>
          <w:numId w:val="6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Certificering</w:t>
      </w:r>
      <w:r w:rsidRPr="007111CF">
        <w:rPr>
          <w:rFonts w:ascii="Calibri" w:hAnsi="Calibri" w:cs="Calibri"/>
        </w:rPr>
        <w:t xml:space="preserve">: </w:t>
      </w:r>
    </w:p>
    <w:p w14:paraId="320806EE" w14:textId="77777777" w:rsidR="007111CF" w:rsidRPr="007111CF" w:rsidRDefault="007111CF" w:rsidP="007111CF">
      <w:pPr>
        <w:numPr>
          <w:ilvl w:val="1"/>
          <w:numId w:val="6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FloorScore® (lage emissies)</w:t>
      </w:r>
    </w:p>
    <w:p w14:paraId="78FEB345" w14:textId="77777777" w:rsidR="007111CF" w:rsidRPr="007111CF" w:rsidRDefault="007111CF" w:rsidP="007111CF">
      <w:pPr>
        <w:numPr>
          <w:ilvl w:val="1"/>
          <w:numId w:val="6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Volledig REACH-conform</w:t>
      </w:r>
    </w:p>
    <w:p w14:paraId="5E3063F6" w14:textId="77777777" w:rsidR="007111CF" w:rsidRPr="007111CF" w:rsidRDefault="007111CF" w:rsidP="007111CF">
      <w:pPr>
        <w:pStyle w:val="Normaalweb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Duurzaamheid en Recycling</w:t>
      </w:r>
    </w:p>
    <w:p w14:paraId="0177C4FD" w14:textId="77777777" w:rsidR="007111CF" w:rsidRPr="007111CF" w:rsidRDefault="007111CF" w:rsidP="007111CF">
      <w:pPr>
        <w:numPr>
          <w:ilvl w:val="0"/>
          <w:numId w:val="7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Recyclebaar</w:t>
      </w:r>
      <w:r w:rsidRPr="007111CF">
        <w:rPr>
          <w:rFonts w:ascii="Calibri" w:hAnsi="Calibri" w:cs="Calibri"/>
        </w:rPr>
        <w:t>: 100%</w:t>
      </w:r>
    </w:p>
    <w:p w14:paraId="6ACCD19C" w14:textId="77777777" w:rsidR="007111CF" w:rsidRPr="007111CF" w:rsidRDefault="007111CF" w:rsidP="007111CF">
      <w:pPr>
        <w:numPr>
          <w:ilvl w:val="0"/>
          <w:numId w:val="7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Gerecycled materiaal</w:t>
      </w:r>
      <w:r w:rsidRPr="007111CF">
        <w:rPr>
          <w:rFonts w:ascii="Calibri" w:hAnsi="Calibri" w:cs="Calibri"/>
        </w:rPr>
        <w:t xml:space="preserve">: 29%, waarvan: </w:t>
      </w:r>
    </w:p>
    <w:p w14:paraId="4E923440" w14:textId="77777777" w:rsidR="007111CF" w:rsidRPr="007111CF" w:rsidRDefault="007111CF" w:rsidP="007111CF">
      <w:pPr>
        <w:numPr>
          <w:ilvl w:val="1"/>
          <w:numId w:val="7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21% uit productieafval</w:t>
      </w:r>
    </w:p>
    <w:p w14:paraId="59EB53BD" w14:textId="77777777" w:rsidR="007111CF" w:rsidRPr="007111CF" w:rsidRDefault="007111CF" w:rsidP="007111CF">
      <w:pPr>
        <w:numPr>
          <w:ilvl w:val="1"/>
          <w:numId w:val="7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8% uit post-consumer materiaal</w:t>
      </w:r>
    </w:p>
    <w:p w14:paraId="33F8675B" w14:textId="77777777" w:rsidR="007111CF" w:rsidRPr="007111CF" w:rsidRDefault="007111CF" w:rsidP="007111CF">
      <w:pPr>
        <w:pStyle w:val="Normaalweb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Technische Specificaties</w:t>
      </w:r>
    </w:p>
    <w:p w14:paraId="5BA1E4E6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Classificatie</w:t>
      </w:r>
      <w:r w:rsidRPr="007111CF">
        <w:rPr>
          <w:rFonts w:ascii="Calibri" w:hAnsi="Calibri" w:cs="Calibri"/>
        </w:rPr>
        <w:t xml:space="preserve">: </w:t>
      </w:r>
    </w:p>
    <w:p w14:paraId="6CD73966" w14:textId="77777777" w:rsidR="007111CF" w:rsidRPr="007111CF" w:rsidRDefault="007111CF" w:rsidP="007111CF">
      <w:pPr>
        <w:numPr>
          <w:ilvl w:val="1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EN ISO 10874: Klasse 34 (commercieel, zeer intensief gebruik)</w:t>
      </w:r>
    </w:p>
    <w:p w14:paraId="17C1E2D6" w14:textId="77777777" w:rsidR="007111CF" w:rsidRPr="007111CF" w:rsidRDefault="007111CF" w:rsidP="007111CF">
      <w:pPr>
        <w:numPr>
          <w:ilvl w:val="1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EN ISO 10874: Klasse 43 (industrieel, intensief gebruik)</w:t>
      </w:r>
    </w:p>
    <w:p w14:paraId="0427EB10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Antistatisch gedrag</w:t>
      </w:r>
      <w:r w:rsidRPr="007111CF">
        <w:rPr>
          <w:rFonts w:ascii="Calibri" w:hAnsi="Calibri" w:cs="Calibri"/>
        </w:rPr>
        <w:t>: Max. 2 kV (EN 1815)</w:t>
      </w:r>
    </w:p>
    <w:p w14:paraId="0A716496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Geschikt voor zwenkwielen</w:t>
      </w:r>
      <w:r w:rsidRPr="007111CF">
        <w:rPr>
          <w:rFonts w:ascii="Calibri" w:hAnsi="Calibri" w:cs="Calibri"/>
        </w:rPr>
        <w:t>: Volgens EN 12529 (type W)</w:t>
      </w:r>
    </w:p>
    <w:p w14:paraId="3B2C8291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Waterdichtheid</w:t>
      </w:r>
      <w:r w:rsidRPr="007111CF">
        <w:rPr>
          <w:rFonts w:ascii="Calibri" w:hAnsi="Calibri" w:cs="Calibri"/>
        </w:rPr>
        <w:t>: Conform EN 13553, bijlage A</w:t>
      </w:r>
    </w:p>
    <w:p w14:paraId="3599D7BB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Brandclassificatie</w:t>
      </w:r>
      <w:r w:rsidRPr="007111CF">
        <w:rPr>
          <w:rFonts w:ascii="Calibri" w:hAnsi="Calibri" w:cs="Calibri"/>
        </w:rPr>
        <w:t>: Bfl-s1 (EN 13501-1)</w:t>
      </w:r>
    </w:p>
    <w:p w14:paraId="69F5FFB7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Slipweerstand</w:t>
      </w:r>
      <w:r w:rsidRPr="007111CF">
        <w:rPr>
          <w:rFonts w:ascii="Calibri" w:hAnsi="Calibri" w:cs="Calibri"/>
        </w:rPr>
        <w:t xml:space="preserve">: </w:t>
      </w:r>
    </w:p>
    <w:p w14:paraId="1D600712" w14:textId="77777777" w:rsidR="007111CF" w:rsidRPr="007111CF" w:rsidRDefault="007111CF" w:rsidP="007111CF">
      <w:pPr>
        <w:numPr>
          <w:ilvl w:val="1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R10 (ASR A1.5/1,2 / BGR 181)</w:t>
      </w:r>
    </w:p>
    <w:p w14:paraId="07FBED1F" w14:textId="77777777" w:rsidR="007111CF" w:rsidRPr="007111CF" w:rsidRDefault="007111CF" w:rsidP="007111CF">
      <w:pPr>
        <w:numPr>
          <w:ilvl w:val="1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Esf - Esb (EN 13845)</w:t>
      </w:r>
    </w:p>
    <w:p w14:paraId="66C47ED9" w14:textId="77777777" w:rsidR="007111CF" w:rsidRPr="007111CF" w:rsidRDefault="007111CF" w:rsidP="007111CF">
      <w:pPr>
        <w:numPr>
          <w:ilvl w:val="1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Natte blotevoetzones: Klasse B (DIN 51097)</w:t>
      </w:r>
    </w:p>
    <w:p w14:paraId="1B433AB4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Chemische bestendigheid</w:t>
      </w:r>
      <w:r w:rsidRPr="007111CF">
        <w:rPr>
          <w:rFonts w:ascii="Calibri" w:hAnsi="Calibri" w:cs="Calibri"/>
        </w:rPr>
        <w:t>: Volgens ISO 26987</w:t>
      </w:r>
    </w:p>
    <w:p w14:paraId="7D2FC622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Vloerverwarming</w:t>
      </w:r>
      <w:r w:rsidRPr="007111CF">
        <w:rPr>
          <w:rFonts w:ascii="Calibri" w:hAnsi="Calibri" w:cs="Calibri"/>
        </w:rPr>
        <w:t>: Geschikt voor warmwater-systemen</w:t>
      </w:r>
    </w:p>
    <w:p w14:paraId="2CD0EFC7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Warmtegeleiding</w:t>
      </w:r>
      <w:r w:rsidRPr="007111CF">
        <w:rPr>
          <w:rFonts w:ascii="Calibri" w:hAnsi="Calibri" w:cs="Calibri"/>
        </w:rPr>
        <w:t>: 0,25 W/(m·K) (ISO 10456)</w:t>
      </w:r>
    </w:p>
    <w:p w14:paraId="668B6EA5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Diktes</w:t>
      </w:r>
      <w:r w:rsidRPr="007111CF">
        <w:rPr>
          <w:rFonts w:ascii="Calibri" w:hAnsi="Calibri" w:cs="Calibri"/>
        </w:rPr>
        <w:t xml:space="preserve">: </w:t>
      </w:r>
    </w:p>
    <w:p w14:paraId="0E20A97A" w14:textId="77777777" w:rsidR="007111CF" w:rsidRPr="007111CF" w:rsidRDefault="007111CF" w:rsidP="007111CF">
      <w:pPr>
        <w:numPr>
          <w:ilvl w:val="1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Totale dikte: 2,0 mm (ISO 24346)</w:t>
      </w:r>
    </w:p>
    <w:p w14:paraId="161278A0" w14:textId="77777777" w:rsidR="007111CF" w:rsidRPr="007111CF" w:rsidRDefault="007111CF" w:rsidP="007111CF">
      <w:pPr>
        <w:numPr>
          <w:ilvl w:val="1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Slijtlaag: 0,85 mm (ISO 24340)</w:t>
      </w:r>
    </w:p>
    <w:p w14:paraId="5DAA5AA7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lastRenderedPageBreak/>
        <w:t>Oppervlaktegewicht</w:t>
      </w:r>
      <w:r w:rsidRPr="007111CF">
        <w:rPr>
          <w:rFonts w:ascii="Calibri" w:hAnsi="Calibri" w:cs="Calibri"/>
        </w:rPr>
        <w:t>: 2.460 g/m² (ISO 23997)</w:t>
      </w:r>
    </w:p>
    <w:p w14:paraId="6B64B246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Restindruk</w:t>
      </w:r>
      <w:r w:rsidRPr="007111CF">
        <w:rPr>
          <w:rFonts w:ascii="Calibri" w:hAnsi="Calibri" w:cs="Calibri"/>
        </w:rPr>
        <w:t>: Ongeveer 0,03 mm (ISO 24343-1)</w:t>
      </w:r>
    </w:p>
    <w:p w14:paraId="11182011" w14:textId="77777777" w:rsidR="007111CF" w:rsidRPr="007111CF" w:rsidRDefault="007111CF" w:rsidP="007111CF">
      <w:pPr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Lichtechtheid</w:t>
      </w:r>
      <w:r w:rsidRPr="007111CF">
        <w:rPr>
          <w:rFonts w:ascii="Calibri" w:hAnsi="Calibri" w:cs="Calibri"/>
        </w:rPr>
        <w:t>: Minimaal niveau 6 (EN 20105-B02)</w:t>
      </w:r>
    </w:p>
    <w:p w14:paraId="6592F095" w14:textId="77777777" w:rsidR="007111CF" w:rsidRPr="007111CF" w:rsidRDefault="007111CF" w:rsidP="007111CF">
      <w:pPr>
        <w:pStyle w:val="Normaalweb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Onderhoud &amp; Hygiëne</w:t>
      </w:r>
    </w:p>
    <w:p w14:paraId="51247E1D" w14:textId="77777777" w:rsidR="007111CF" w:rsidRPr="007111CF" w:rsidRDefault="007111CF" w:rsidP="007111CF">
      <w:pPr>
        <w:numPr>
          <w:ilvl w:val="0"/>
          <w:numId w:val="9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Oppervlakteafwerking</w:t>
      </w:r>
      <w:r w:rsidRPr="007111CF">
        <w:rPr>
          <w:rFonts w:ascii="Calibri" w:hAnsi="Calibri" w:cs="Calibri"/>
        </w:rPr>
        <w:t>: SparClean® voor eenvoudig en efficiënt onderhoud</w:t>
      </w:r>
    </w:p>
    <w:p w14:paraId="0006ED4A" w14:textId="77777777" w:rsidR="007111CF" w:rsidRPr="007111CF" w:rsidRDefault="007111CF" w:rsidP="007111CF">
      <w:pPr>
        <w:numPr>
          <w:ilvl w:val="0"/>
          <w:numId w:val="9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Antibacteriële werking</w:t>
      </w:r>
      <w:r w:rsidRPr="007111CF">
        <w:rPr>
          <w:rFonts w:ascii="Calibri" w:hAnsi="Calibri" w:cs="Calibri"/>
        </w:rPr>
        <w:t>: ≥ 99% tegen o.a. E. coli, S. aureus en MRSA (volgens ISO 22196)</w:t>
      </w:r>
    </w:p>
    <w:p w14:paraId="24C9DFB0" w14:textId="77777777" w:rsidR="007111CF" w:rsidRPr="007111CF" w:rsidRDefault="007111CF" w:rsidP="007111CF">
      <w:pPr>
        <w:pStyle w:val="Normaalweb"/>
        <w:rPr>
          <w:rFonts w:ascii="Calibri" w:hAnsi="Calibri" w:cs="Calibri"/>
        </w:rPr>
      </w:pPr>
      <w:r w:rsidRPr="007111CF">
        <w:rPr>
          <w:rStyle w:val="Zwaar"/>
          <w:rFonts w:ascii="Calibri" w:hAnsi="Calibri" w:cs="Calibri"/>
        </w:rPr>
        <w:t>Recyclingprogramma: "Second Life"</w:t>
      </w:r>
      <w:r w:rsidRPr="007111CF">
        <w:rPr>
          <w:rFonts w:ascii="Calibri" w:hAnsi="Calibri" w:cs="Calibri"/>
        </w:rPr>
        <w:br/>
        <w:t>De fabrikant biedt een terugname- en recyclingsysteem:</w:t>
      </w:r>
    </w:p>
    <w:p w14:paraId="6F97386E" w14:textId="77777777" w:rsidR="007111CF" w:rsidRPr="007111CF" w:rsidRDefault="007111CF" w:rsidP="007111CF">
      <w:pPr>
        <w:numPr>
          <w:ilvl w:val="0"/>
          <w:numId w:val="10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Installatieresten worden ingezameld en hergebruikt.</w:t>
      </w:r>
    </w:p>
    <w:p w14:paraId="175CC51B" w14:textId="77777777" w:rsidR="007111CF" w:rsidRPr="007111CF" w:rsidRDefault="007111CF" w:rsidP="007111CF">
      <w:pPr>
        <w:numPr>
          <w:ilvl w:val="0"/>
          <w:numId w:val="10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Recyclaat wordt verwerkt in nieuwe vloerbedekking.</w:t>
      </w:r>
    </w:p>
    <w:p w14:paraId="5D025AEC" w14:textId="77777777" w:rsidR="007111CF" w:rsidRPr="007111CF" w:rsidRDefault="007111CF" w:rsidP="007111CF">
      <w:pPr>
        <w:numPr>
          <w:ilvl w:val="0"/>
          <w:numId w:val="10"/>
        </w:numPr>
        <w:spacing w:before="100" w:beforeAutospacing="1" w:after="100" w:afterAutospacing="1"/>
        <w:rPr>
          <w:rFonts w:ascii="Calibri" w:hAnsi="Calibri" w:cs="Calibri"/>
        </w:rPr>
      </w:pPr>
      <w:r w:rsidRPr="007111CF">
        <w:rPr>
          <w:rFonts w:ascii="Calibri" w:hAnsi="Calibri" w:cs="Calibri"/>
        </w:rPr>
        <w:t>In samenwerking met het uitvoerende installatiebedrijf.</w:t>
      </w:r>
    </w:p>
    <w:p w14:paraId="32D642DD" w14:textId="1846E5B2" w:rsidR="00CD3E80" w:rsidRPr="007111CF" w:rsidRDefault="007111CF" w:rsidP="007111CF">
      <w:pPr>
        <w:pStyle w:val="Kop1"/>
        <w:jc w:val="both"/>
        <w:rPr>
          <w:rFonts w:ascii="Calibri" w:hAnsi="Calibri" w:cs="Calibri"/>
          <w:b w:val="0"/>
          <w:color w:val="000000" w:themeColor="text1"/>
          <w:sz w:val="24"/>
          <w:szCs w:val="24"/>
        </w:rPr>
      </w:pPr>
      <w:r w:rsidRPr="007111CF">
        <w:rPr>
          <w:rFonts w:ascii="Calibri" w:hAnsi="Calibri" w:cs="Calibri"/>
          <w:b w:val="0"/>
          <w:color w:val="000000" w:themeColor="text1"/>
          <w:sz w:val="24"/>
          <w:szCs w:val="24"/>
        </w:rPr>
        <w:t>Gebruikte vloerbedekking kan aan het einde van de levenscyclus worden ingezameld en getransporteerd naar een gespecialiseerd recyclagecentrum. Daar wordt het materiaal verwerkt met behulp van geavanceerde koel-, scheidings- en sorteertechnieken. De teruggewonnen grondstoffen worden vervolgens hergebruikt voor de productie van nieuwe producten.</w:t>
      </w:r>
      <w:r w:rsidR="00CD3E80" w:rsidRPr="007111CF">
        <w:rPr>
          <w:rFonts w:ascii="Calibri" w:hAnsi="Calibri" w:cs="Calibri"/>
          <w:b w:val="0"/>
          <w:color w:val="000000" w:themeColor="text1"/>
          <w:sz w:val="24"/>
          <w:szCs w:val="24"/>
        </w:rPr>
        <w:br/>
      </w:r>
    </w:p>
    <w:p w14:paraId="2474A06B" w14:textId="33219181" w:rsidR="00283FA1" w:rsidRPr="007111CF" w:rsidRDefault="00283FA1" w:rsidP="007111CF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u w:val="single"/>
          <w:lang w:val="nl-NL"/>
        </w:rPr>
      </w:pPr>
    </w:p>
    <w:p w14:paraId="29D7CED1" w14:textId="2F558265" w:rsidR="00283FA1" w:rsidRPr="007111CF" w:rsidRDefault="00283FA1" w:rsidP="007111CF">
      <w:pPr>
        <w:autoSpaceDE w:val="0"/>
        <w:autoSpaceDN w:val="0"/>
        <w:adjustRightInd w:val="0"/>
        <w:jc w:val="both"/>
        <w:rPr>
          <w:rFonts w:ascii="Calibri" w:hAnsi="Calibri" w:cs="Calibri"/>
          <w:lang w:val="nl-BE"/>
        </w:rPr>
      </w:pPr>
    </w:p>
    <w:p w14:paraId="4B06F376" w14:textId="77777777" w:rsidR="003A3F7C" w:rsidRPr="007111CF" w:rsidRDefault="003A3F7C" w:rsidP="007111CF">
      <w:pPr>
        <w:autoSpaceDE w:val="0"/>
        <w:autoSpaceDN w:val="0"/>
        <w:adjustRightInd w:val="0"/>
        <w:jc w:val="both"/>
        <w:rPr>
          <w:rFonts w:ascii="Calibri" w:hAnsi="Calibri" w:cs="Calibri"/>
          <w:iCs/>
          <w:lang w:val="nl-NL"/>
        </w:rPr>
      </w:pPr>
    </w:p>
    <w:p w14:paraId="48147A0E" w14:textId="31FCDA6A" w:rsidR="00606E41" w:rsidRPr="007111CF" w:rsidRDefault="00606E41" w:rsidP="007111CF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lang w:val="nl-BE" w:eastAsia="nl-NL"/>
        </w:rPr>
      </w:pPr>
    </w:p>
    <w:sectPr w:rsidR="00606E41" w:rsidRPr="007111CF" w:rsidSect="006918FA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0BD2C" w14:textId="77777777" w:rsidR="00EA7620" w:rsidRDefault="00EA7620" w:rsidP="0028278E">
      <w:r>
        <w:separator/>
      </w:r>
    </w:p>
  </w:endnote>
  <w:endnote w:type="continuationSeparator" w:id="0">
    <w:p w14:paraId="069A1C6F" w14:textId="77777777" w:rsidR="00EA7620" w:rsidRDefault="00EA7620" w:rsidP="00282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1ED16" w14:textId="34620D3B" w:rsidR="0028278E" w:rsidRDefault="0028278E">
    <w:pPr>
      <w:pStyle w:val="Voettekst"/>
    </w:pPr>
    <w:r>
      <w:tab/>
      <w:t>www.gerflor.</w:t>
    </w:r>
    <w:r w:rsidR="008F6EF6">
      <w:t>nl</w:t>
    </w:r>
  </w:p>
  <w:p w14:paraId="3B3AB8C1" w14:textId="3E38C171" w:rsidR="0028278E" w:rsidRPr="0028278E" w:rsidRDefault="0028278E">
    <w:pPr>
      <w:pStyle w:val="Voettekst"/>
      <w:rPr>
        <w:lang w:val="nl-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89606" w14:textId="77777777" w:rsidR="00EA7620" w:rsidRDefault="00EA7620" w:rsidP="0028278E">
      <w:r>
        <w:separator/>
      </w:r>
    </w:p>
  </w:footnote>
  <w:footnote w:type="continuationSeparator" w:id="0">
    <w:p w14:paraId="2E8872D6" w14:textId="77777777" w:rsidR="00EA7620" w:rsidRDefault="00EA7620" w:rsidP="002827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ED9D0" w14:textId="2DD4AE10" w:rsidR="0028278E" w:rsidRDefault="0028278E">
    <w:pPr>
      <w:pStyle w:val="Koptekst"/>
    </w:pPr>
    <w:r>
      <w:rPr>
        <w:rFonts w:ascii="Verdana" w:hAnsi="Verdana" w:cs="Tahoma"/>
        <w:b/>
        <w:bCs/>
        <w:i/>
        <w:iCs/>
        <w:noProof/>
        <w:sz w:val="20"/>
        <w:szCs w:val="20"/>
      </w:rPr>
      <w:drawing>
        <wp:inline distT="0" distB="0" distL="0" distR="0" wp14:anchorId="074337F1" wp14:editId="38C5D159">
          <wp:extent cx="1721002" cy="898892"/>
          <wp:effectExtent l="0" t="0" r="0" b="0"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1401" cy="89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023CB3" w14:textId="77777777" w:rsidR="0028278E" w:rsidRDefault="0028278E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00F2C"/>
    <w:multiLevelType w:val="multilevel"/>
    <w:tmpl w:val="68889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B86902"/>
    <w:multiLevelType w:val="multilevel"/>
    <w:tmpl w:val="5CFC8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314D69"/>
    <w:multiLevelType w:val="multilevel"/>
    <w:tmpl w:val="DCD6A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7C4BE8"/>
    <w:multiLevelType w:val="multilevel"/>
    <w:tmpl w:val="AA002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4C7933"/>
    <w:multiLevelType w:val="multilevel"/>
    <w:tmpl w:val="EEDA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687421"/>
    <w:multiLevelType w:val="multilevel"/>
    <w:tmpl w:val="ACEE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39192D"/>
    <w:multiLevelType w:val="multilevel"/>
    <w:tmpl w:val="EE1C5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FC0D80"/>
    <w:multiLevelType w:val="multilevel"/>
    <w:tmpl w:val="2AB0F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043943"/>
    <w:multiLevelType w:val="multilevel"/>
    <w:tmpl w:val="DD5A7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434E8C"/>
    <w:multiLevelType w:val="multilevel"/>
    <w:tmpl w:val="15141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4164141">
    <w:abstractNumId w:val="6"/>
  </w:num>
  <w:num w:numId="2" w16cid:durableId="2040281309">
    <w:abstractNumId w:val="5"/>
  </w:num>
  <w:num w:numId="3" w16cid:durableId="1843810433">
    <w:abstractNumId w:val="4"/>
  </w:num>
  <w:num w:numId="4" w16cid:durableId="140583129">
    <w:abstractNumId w:val="2"/>
  </w:num>
  <w:num w:numId="5" w16cid:durableId="1872524102">
    <w:abstractNumId w:val="7"/>
  </w:num>
  <w:num w:numId="6" w16cid:durableId="788741316">
    <w:abstractNumId w:val="3"/>
  </w:num>
  <w:num w:numId="7" w16cid:durableId="2048798746">
    <w:abstractNumId w:val="8"/>
  </w:num>
  <w:num w:numId="8" w16cid:durableId="658772865">
    <w:abstractNumId w:val="0"/>
  </w:num>
  <w:num w:numId="9" w16cid:durableId="80179878">
    <w:abstractNumId w:val="9"/>
  </w:num>
  <w:num w:numId="10" w16cid:durableId="16070314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B0B"/>
    <w:rsid w:val="00020B11"/>
    <w:rsid w:val="00135F02"/>
    <w:rsid w:val="001F173A"/>
    <w:rsid w:val="002070F4"/>
    <w:rsid w:val="00245768"/>
    <w:rsid w:val="002739CB"/>
    <w:rsid w:val="0028278E"/>
    <w:rsid w:val="00283FA1"/>
    <w:rsid w:val="002E15F4"/>
    <w:rsid w:val="00315BB7"/>
    <w:rsid w:val="00337AF1"/>
    <w:rsid w:val="00360EF4"/>
    <w:rsid w:val="00375790"/>
    <w:rsid w:val="003A3F7C"/>
    <w:rsid w:val="003D2942"/>
    <w:rsid w:val="003E67F3"/>
    <w:rsid w:val="004453B4"/>
    <w:rsid w:val="004B0890"/>
    <w:rsid w:val="004B3BD1"/>
    <w:rsid w:val="004E6A43"/>
    <w:rsid w:val="004F1471"/>
    <w:rsid w:val="005456EA"/>
    <w:rsid w:val="005805F7"/>
    <w:rsid w:val="00593585"/>
    <w:rsid w:val="005F5D62"/>
    <w:rsid w:val="00606E41"/>
    <w:rsid w:val="006103CB"/>
    <w:rsid w:val="00624A48"/>
    <w:rsid w:val="0064160C"/>
    <w:rsid w:val="00652883"/>
    <w:rsid w:val="006918FA"/>
    <w:rsid w:val="006A47AA"/>
    <w:rsid w:val="006D772D"/>
    <w:rsid w:val="007111CF"/>
    <w:rsid w:val="007164BF"/>
    <w:rsid w:val="007461BF"/>
    <w:rsid w:val="007B2FCF"/>
    <w:rsid w:val="008229AA"/>
    <w:rsid w:val="00862184"/>
    <w:rsid w:val="008745B8"/>
    <w:rsid w:val="00876B80"/>
    <w:rsid w:val="008A78CC"/>
    <w:rsid w:val="008F5669"/>
    <w:rsid w:val="008F6EF6"/>
    <w:rsid w:val="00963A3A"/>
    <w:rsid w:val="00991F14"/>
    <w:rsid w:val="009F7FB8"/>
    <w:rsid w:val="00A33B0B"/>
    <w:rsid w:val="00AE2EBC"/>
    <w:rsid w:val="00AF64F1"/>
    <w:rsid w:val="00B175AA"/>
    <w:rsid w:val="00B25465"/>
    <w:rsid w:val="00B700D4"/>
    <w:rsid w:val="00B958F3"/>
    <w:rsid w:val="00BB47C3"/>
    <w:rsid w:val="00BB7258"/>
    <w:rsid w:val="00BC2489"/>
    <w:rsid w:val="00BC4C40"/>
    <w:rsid w:val="00BD5385"/>
    <w:rsid w:val="00C113C4"/>
    <w:rsid w:val="00C43118"/>
    <w:rsid w:val="00C70F16"/>
    <w:rsid w:val="00C73C20"/>
    <w:rsid w:val="00C94D33"/>
    <w:rsid w:val="00CB6376"/>
    <w:rsid w:val="00CD3E80"/>
    <w:rsid w:val="00CF42EF"/>
    <w:rsid w:val="00D802B1"/>
    <w:rsid w:val="00DD2B35"/>
    <w:rsid w:val="00E17A27"/>
    <w:rsid w:val="00E828A8"/>
    <w:rsid w:val="00EA332A"/>
    <w:rsid w:val="00EA7620"/>
    <w:rsid w:val="00F30C2F"/>
    <w:rsid w:val="00F72F43"/>
    <w:rsid w:val="00FA15B1"/>
    <w:rsid w:val="00FC4E43"/>
    <w:rsid w:val="00FC5EEB"/>
    <w:rsid w:val="00FE3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1479F4"/>
  <w15:docId w15:val="{33B0EF79-9E01-48ED-A5F9-21F8CBC5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A33B0B"/>
    <w:rPr>
      <w:sz w:val="24"/>
      <w:szCs w:val="24"/>
    </w:rPr>
  </w:style>
  <w:style w:type="paragraph" w:styleId="Kop1">
    <w:name w:val="heading 1"/>
    <w:basedOn w:val="Standaard"/>
    <w:next w:val="Standaard"/>
    <w:link w:val="Kop1Char"/>
    <w:qFormat/>
    <w:rsid w:val="003A3F7C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val="nl-NL" w:eastAsia="nl-NL"/>
    </w:rPr>
  </w:style>
  <w:style w:type="paragraph" w:styleId="Kop3">
    <w:name w:val="heading 3"/>
    <w:basedOn w:val="Standaard"/>
    <w:next w:val="Standaard"/>
    <w:link w:val="Kop3Char"/>
    <w:semiHidden/>
    <w:unhideWhenUsed/>
    <w:qFormat/>
    <w:rsid w:val="007111C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rsid w:val="00606E41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606E41"/>
    <w:rPr>
      <w:rFonts w:ascii="Tahoma" w:hAnsi="Tahoma" w:cs="Tahoma"/>
      <w:sz w:val="16"/>
      <w:szCs w:val="16"/>
    </w:rPr>
  </w:style>
  <w:style w:type="character" w:customStyle="1" w:styleId="Kop1Char">
    <w:name w:val="Kop 1 Char"/>
    <w:basedOn w:val="Standaardalinea-lettertype"/>
    <w:link w:val="Kop1"/>
    <w:rsid w:val="003A3F7C"/>
    <w:rPr>
      <w:rFonts w:ascii="Calibri Light" w:hAnsi="Calibri Light"/>
      <w:b/>
      <w:bCs/>
      <w:kern w:val="32"/>
      <w:sz w:val="32"/>
      <w:szCs w:val="32"/>
      <w:lang w:val="nl-NL" w:eastAsia="nl-NL"/>
    </w:rPr>
  </w:style>
  <w:style w:type="paragraph" w:styleId="Koptekst">
    <w:name w:val="header"/>
    <w:basedOn w:val="Standaard"/>
    <w:link w:val="KoptekstChar"/>
    <w:uiPriority w:val="99"/>
    <w:unhideWhenUsed/>
    <w:rsid w:val="0028278E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8278E"/>
    <w:rPr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28278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8278E"/>
    <w:rPr>
      <w:sz w:val="24"/>
      <w:szCs w:val="24"/>
    </w:rPr>
  </w:style>
  <w:style w:type="paragraph" w:styleId="Normaalweb">
    <w:name w:val="Normal (Web)"/>
    <w:basedOn w:val="Standaard"/>
    <w:uiPriority w:val="99"/>
    <w:unhideWhenUsed/>
    <w:rsid w:val="00283FA1"/>
    <w:pPr>
      <w:spacing w:before="100" w:beforeAutospacing="1" w:after="100" w:afterAutospacing="1"/>
    </w:pPr>
    <w:rPr>
      <w:lang w:val="nl-NL" w:eastAsia="nl-NL"/>
    </w:rPr>
  </w:style>
  <w:style w:type="character" w:styleId="Zwaar">
    <w:name w:val="Strong"/>
    <w:basedOn w:val="Standaardalinea-lettertype"/>
    <w:uiPriority w:val="22"/>
    <w:qFormat/>
    <w:rsid w:val="00EA332A"/>
    <w:rPr>
      <w:b/>
      <w:bCs/>
    </w:rPr>
  </w:style>
  <w:style w:type="character" w:customStyle="1" w:styleId="Kop3Char">
    <w:name w:val="Kop 3 Char"/>
    <w:basedOn w:val="Standaardalinea-lettertype"/>
    <w:link w:val="Kop3"/>
    <w:semiHidden/>
    <w:rsid w:val="007111C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63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4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21FE6AD7BD2E4E8C1E522570A1E6BF" ma:contentTypeVersion="" ma:contentTypeDescription="Create a new document." ma:contentTypeScope="" ma:versionID="6233bb4e002b0a27343f0a2dbeda1c46">
  <xsd:schema xmlns:xsd="http://www.w3.org/2001/XMLSchema" xmlns:xs="http://www.w3.org/2001/XMLSchema" xmlns:p="http://schemas.microsoft.com/office/2006/metadata/properties" xmlns:ns2="feb9cd43-0d68-4ffc-b9a0-f652a27578c1" xmlns:ns3="c92bb80f-4d4c-4153-bdee-e573c7f35d79" targetNamespace="http://schemas.microsoft.com/office/2006/metadata/properties" ma:root="true" ma:fieldsID="8682ba4f02b85495bbf0132d94fe99ef" ns2:_="" ns3:_="">
    <xsd:import namespace="feb9cd43-0d68-4ffc-b9a0-f652a27578c1"/>
    <xsd:import namespace="c92bb80f-4d4c-4153-bdee-e573c7f35d7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9cd43-0d68-4ffc-b9a0-f652a27578c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2bb80f-4d4c-4153-bdee-e573c7f35d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2883A1-848F-4ED7-840F-F8C45663D0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9cd43-0d68-4ffc-b9a0-f652a27578c1"/>
    <ds:schemaRef ds:uri="c92bb80f-4d4c-4153-bdee-e573c7f35d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3E169B-F56E-4A7E-A4E2-663F6CD2A0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9582389-70E8-43B6-AC93-66F71B27B8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344</Words>
  <Characters>1897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MIPOLAM ELEGANCE 290 is een homogene gekalanderde en verdichte vloerbedekking, leverbaar in tegels of rollen en is antistatisch met een richtingloos, meerkleurig dessin</vt:lpstr>
      <vt:lpstr>MIPOLAM ELEGANCE 290 is een homogene gekalanderde en verdichte vloerbedekking, leverbaar in tegels of rollen en is antistatisch met een richtingloos, meerkleurig dessin</vt:lpstr>
    </vt:vector>
  </TitlesOfParts>
  <Company>GERFLOR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MIPOLAM ELEGANCE 290 is een homogene gekalanderde en verdichte vloerbedekking, leverbaar in tegels of rollen en is antistatisch met een richtingloos, meerkleurig dessin</dc:title>
  <dc:creator>pversee</dc:creator>
  <cp:lastModifiedBy>RADI Atta</cp:lastModifiedBy>
  <cp:revision>2</cp:revision>
  <dcterms:created xsi:type="dcterms:W3CDTF">2025-03-26T13:56:00Z</dcterms:created>
  <dcterms:modified xsi:type="dcterms:W3CDTF">2025-03-26T13:56:00Z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0x0101007521FE6AD7BD2E4E8C1E522570A1E6BF</vt:lpwstr>
  </property>
</Properties>
</file>